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3D0BCE" w:rsidP="00D90A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90A4E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2B1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3D0BCE">
        <w:rPr>
          <w:rFonts w:ascii="Arial" w:hAnsi="Arial" w:cs="Arial"/>
          <w:sz w:val="20"/>
          <w:szCs w:val="20"/>
        </w:rPr>
        <w:t>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D0BCE" w:rsidRPr="003D0BC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3D0BCE" w:rsidRPr="003D0BCE">
        <w:rPr>
          <w:rFonts w:ascii="Arial" w:hAnsi="Arial" w:cs="Arial"/>
          <w:sz w:val="20"/>
          <w:szCs w:val="20"/>
        </w:rPr>
        <w:t>Noi</w:t>
      </w:r>
      <w:proofErr w:type="spellEnd"/>
      <w:r w:rsidR="003D0BCE" w:rsidRPr="003D0BCE">
        <w:rPr>
          <w:rFonts w:ascii="Arial" w:hAnsi="Arial" w:cs="Arial"/>
          <w:sz w:val="20"/>
          <w:szCs w:val="20"/>
        </w:rPr>
        <w:t xml:space="preserve"> cadastral survey Joint </w:t>
      </w:r>
      <w:proofErr w:type="gramStart"/>
      <w:r w:rsidR="003D0BCE" w:rsidRPr="003D0BCE">
        <w:rPr>
          <w:rFonts w:ascii="Arial" w:hAnsi="Arial" w:cs="Arial"/>
          <w:sz w:val="20"/>
          <w:szCs w:val="20"/>
        </w:rPr>
        <w:t>stock</w:t>
      </w:r>
      <w:proofErr w:type="gramEnd"/>
      <w:r w:rsidR="003D0BCE" w:rsidRPr="003D0BCE">
        <w:rPr>
          <w:rFonts w:ascii="Arial" w:hAnsi="Arial" w:cs="Arial"/>
          <w:sz w:val="20"/>
          <w:szCs w:val="20"/>
        </w:rPr>
        <w:t xml:space="preserve"> Company</w:t>
      </w:r>
      <w:r w:rsidR="003D0BC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90A4E">
        <w:rPr>
          <w:rFonts w:ascii="Arial" w:hAnsi="Arial" w:cs="Arial"/>
          <w:sz w:val="20"/>
          <w:szCs w:val="20"/>
        </w:rPr>
        <w:t>annual General Mandate 2020</w:t>
      </w:r>
      <w:r w:rsidR="002B19B9" w:rsidRPr="002B19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the report of the Board of Directors and operation result of 2019 and operation plan for 2020 of </w:t>
      </w:r>
      <w:r w:rsidRPr="003D0BCE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3D0BCE">
        <w:rPr>
          <w:rFonts w:ascii="Arial" w:hAnsi="Arial" w:cs="Arial"/>
          <w:sz w:val="20"/>
          <w:szCs w:val="20"/>
        </w:rPr>
        <w:t>Noi</w:t>
      </w:r>
      <w:proofErr w:type="spellEnd"/>
      <w:r w:rsidRPr="003D0BCE">
        <w:rPr>
          <w:rFonts w:ascii="Arial" w:hAnsi="Arial" w:cs="Arial"/>
          <w:sz w:val="20"/>
          <w:szCs w:val="20"/>
        </w:rPr>
        <w:t xml:space="preserve"> cadastral survey Joint </w:t>
      </w:r>
      <w:proofErr w:type="gramStart"/>
      <w:r w:rsidRPr="003D0BCE">
        <w:rPr>
          <w:rFonts w:ascii="Arial" w:hAnsi="Arial" w:cs="Arial"/>
          <w:sz w:val="20"/>
          <w:szCs w:val="20"/>
        </w:rPr>
        <w:t>stock</w:t>
      </w:r>
      <w:proofErr w:type="gramEnd"/>
      <w:r w:rsidRPr="003D0BCE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1800"/>
        <w:gridCol w:w="2988"/>
      </w:tblGrid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before tax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24,456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22,452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22,320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1,488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1,344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to the State’s budget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2,888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2,833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326.601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211.200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Remaining after dividend payment and extraction to Investment and Development Fund </w:t>
            </w: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297.650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268.800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Extracting 20% of after-tax profit </w:t>
            </w:r>
          </w:p>
        </w:tc>
      </w:tr>
      <w:tr w:rsidR="003D0BCE" w:rsidTr="00F74F6C"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800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2988" w:type="dxa"/>
          </w:tcPr>
          <w:p w:rsidR="003D0BCE" w:rsidRDefault="003D0BCE" w:rsidP="003D0B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300/ share</w:t>
            </w:r>
          </w:p>
        </w:tc>
      </w:tr>
    </w:tbl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BCE">
        <w:rPr>
          <w:rFonts w:ascii="Arial" w:hAnsi="Arial" w:cs="Arial"/>
          <w:sz w:val="20"/>
          <w:szCs w:val="20"/>
        </w:rPr>
        <w:t xml:space="preserve">2. Approve the supervision report of the Supervisory Board of Ha </w:t>
      </w:r>
      <w:proofErr w:type="spellStart"/>
      <w:r w:rsidRPr="003D0BCE">
        <w:rPr>
          <w:rFonts w:ascii="Arial" w:hAnsi="Arial" w:cs="Arial"/>
          <w:sz w:val="20"/>
          <w:szCs w:val="20"/>
        </w:rPr>
        <w:t>Noi</w:t>
      </w:r>
      <w:proofErr w:type="spellEnd"/>
      <w:r w:rsidRPr="003D0BCE">
        <w:rPr>
          <w:rFonts w:ascii="Arial" w:hAnsi="Arial" w:cs="Arial"/>
          <w:sz w:val="20"/>
          <w:szCs w:val="20"/>
        </w:rPr>
        <w:t xml:space="preserve"> cadastral survey Joint stock Company </w:t>
      </w:r>
      <w:r>
        <w:rPr>
          <w:rFonts w:ascii="Arial" w:hAnsi="Arial" w:cs="Arial"/>
          <w:sz w:val="20"/>
          <w:szCs w:val="20"/>
        </w:rPr>
        <w:t>in 2019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 the Statement on</w:t>
      </w:r>
      <w:r w:rsidRPr="003D0BCE">
        <w:rPr>
          <w:rFonts w:ascii="Arial" w:hAnsi="Arial" w:cs="Arial"/>
          <w:sz w:val="20"/>
          <w:szCs w:val="20"/>
        </w:rPr>
        <w:t xml:space="preserve"> profit distribution plan and </w:t>
      </w:r>
      <w:r>
        <w:rPr>
          <w:rFonts w:ascii="Arial" w:hAnsi="Arial" w:cs="Arial"/>
          <w:sz w:val="20"/>
          <w:szCs w:val="20"/>
        </w:rPr>
        <w:t>extraction to funds in 2019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D0BCE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statement on remuneration payment to</w:t>
      </w:r>
      <w:r w:rsidRPr="003D0BCE">
        <w:rPr>
          <w:rFonts w:ascii="Arial" w:hAnsi="Arial" w:cs="Arial"/>
          <w:sz w:val="20"/>
          <w:szCs w:val="20"/>
        </w:rPr>
        <w:t xml:space="preserve"> the Board of Directors an</w:t>
      </w:r>
      <w:r>
        <w:rPr>
          <w:rFonts w:ascii="Arial" w:hAnsi="Arial" w:cs="Arial"/>
          <w:sz w:val="20"/>
          <w:szCs w:val="20"/>
        </w:rPr>
        <w:t>d the Supervisory Board in 2020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3D0BCE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Statement</w:t>
      </w:r>
      <w:r w:rsidRPr="003D0BCE">
        <w:rPr>
          <w:rFonts w:ascii="Arial" w:hAnsi="Arial" w:cs="Arial"/>
          <w:sz w:val="20"/>
          <w:szCs w:val="20"/>
        </w:rPr>
        <w:t xml:space="preserve"> on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3D0BCE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company to audit the financial statement of 2020</w:t>
      </w:r>
    </w:p>
    <w:p w:rsidR="00F74F6C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D0BCE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Statement</w:t>
      </w:r>
      <w:r w:rsidRPr="003D0BCE">
        <w:rPr>
          <w:rFonts w:ascii="Arial" w:hAnsi="Arial" w:cs="Arial"/>
          <w:sz w:val="20"/>
          <w:szCs w:val="20"/>
        </w:rPr>
        <w:t xml:space="preserve"> on dismissing members of the Supervisory Board (Mr. Tran Hoai Giang and Ms. Ngo Thi Hong </w:t>
      </w:r>
      <w:proofErr w:type="spellStart"/>
      <w:r w:rsidRPr="003D0BCE">
        <w:rPr>
          <w:rFonts w:ascii="Arial" w:hAnsi="Arial" w:cs="Arial"/>
          <w:sz w:val="20"/>
          <w:szCs w:val="20"/>
        </w:rPr>
        <w:t>Dien</w:t>
      </w:r>
      <w:proofErr w:type="spellEnd"/>
      <w:r w:rsidRPr="003D0BCE">
        <w:rPr>
          <w:rFonts w:ascii="Arial" w:hAnsi="Arial" w:cs="Arial"/>
          <w:sz w:val="20"/>
          <w:szCs w:val="20"/>
        </w:rPr>
        <w:t>) and electing additional members of the Supervisory Board (Mr. Nguyen Van</w:t>
      </w:r>
      <w:r w:rsidR="00F74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F6C">
        <w:rPr>
          <w:rFonts w:ascii="Arial" w:hAnsi="Arial" w:cs="Arial"/>
          <w:sz w:val="20"/>
          <w:szCs w:val="20"/>
        </w:rPr>
        <w:t>Vinh</w:t>
      </w:r>
      <w:proofErr w:type="spellEnd"/>
      <w:r w:rsidR="00F74F6C">
        <w:rPr>
          <w:rFonts w:ascii="Arial" w:hAnsi="Arial" w:cs="Arial"/>
          <w:sz w:val="20"/>
          <w:szCs w:val="20"/>
        </w:rPr>
        <w:t xml:space="preserve"> and Mr. Tang </w:t>
      </w:r>
      <w:proofErr w:type="spellStart"/>
      <w:r w:rsidR="00F74F6C">
        <w:rPr>
          <w:rFonts w:ascii="Arial" w:hAnsi="Arial" w:cs="Arial"/>
          <w:sz w:val="20"/>
          <w:szCs w:val="20"/>
        </w:rPr>
        <w:t>Quang</w:t>
      </w:r>
      <w:proofErr w:type="spellEnd"/>
      <w:r w:rsidR="00F74F6C">
        <w:rPr>
          <w:rFonts w:ascii="Arial" w:hAnsi="Arial" w:cs="Arial"/>
          <w:sz w:val="20"/>
          <w:szCs w:val="20"/>
        </w:rPr>
        <w:t xml:space="preserve"> Hung)</w:t>
      </w:r>
    </w:p>
    <w:p w:rsidR="00F74F6C" w:rsidRDefault="00F74F6C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The annual General Meeting of Shareholders a</w:t>
      </w:r>
      <w:r w:rsidR="003D0BCE" w:rsidRPr="003D0BCE">
        <w:rPr>
          <w:rFonts w:ascii="Arial" w:hAnsi="Arial" w:cs="Arial"/>
          <w:sz w:val="20"/>
          <w:szCs w:val="20"/>
        </w:rPr>
        <w:t>ssign</w:t>
      </w:r>
      <w:r>
        <w:rPr>
          <w:rFonts w:ascii="Arial" w:hAnsi="Arial" w:cs="Arial"/>
          <w:sz w:val="20"/>
          <w:szCs w:val="20"/>
        </w:rPr>
        <w:t>ed</w:t>
      </w:r>
      <w:r w:rsidR="003D0BCE" w:rsidRPr="003D0BCE">
        <w:rPr>
          <w:rFonts w:ascii="Arial" w:hAnsi="Arial" w:cs="Arial"/>
          <w:sz w:val="20"/>
          <w:szCs w:val="20"/>
        </w:rPr>
        <w:t xml:space="preserve"> the Board of Directors: </w:t>
      </w:r>
    </w:p>
    <w:p w:rsidR="00F74F6C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BCE">
        <w:rPr>
          <w:rFonts w:ascii="Arial" w:hAnsi="Arial" w:cs="Arial"/>
          <w:sz w:val="20"/>
          <w:szCs w:val="20"/>
        </w:rPr>
        <w:lastRenderedPageBreak/>
        <w:t xml:space="preserve">- Organize the implementation of the contents of the Resolution adopted at the Annual General Meeting of Shareholders of </w:t>
      </w:r>
      <w:r w:rsidR="00F74F6C" w:rsidRPr="00F74F6C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F74F6C" w:rsidRPr="00F74F6C">
        <w:rPr>
          <w:rFonts w:ascii="Arial" w:hAnsi="Arial" w:cs="Arial"/>
          <w:sz w:val="20"/>
          <w:szCs w:val="20"/>
        </w:rPr>
        <w:t>Noi</w:t>
      </w:r>
      <w:proofErr w:type="spellEnd"/>
      <w:r w:rsidR="00F74F6C" w:rsidRPr="00F74F6C">
        <w:rPr>
          <w:rFonts w:ascii="Arial" w:hAnsi="Arial" w:cs="Arial"/>
          <w:sz w:val="20"/>
          <w:szCs w:val="20"/>
        </w:rPr>
        <w:t xml:space="preserve"> cadastral survey Joint stock Company </w:t>
      </w:r>
      <w:r w:rsidRPr="003D0BCE">
        <w:rPr>
          <w:rFonts w:ascii="Arial" w:hAnsi="Arial" w:cs="Arial"/>
          <w:sz w:val="20"/>
          <w:szCs w:val="20"/>
        </w:rPr>
        <w:t xml:space="preserve">and report to the </w:t>
      </w:r>
      <w:r w:rsidR="00F74F6C">
        <w:rPr>
          <w:rFonts w:ascii="Arial" w:hAnsi="Arial" w:cs="Arial"/>
          <w:sz w:val="20"/>
          <w:szCs w:val="20"/>
        </w:rPr>
        <w:t xml:space="preserve">next annual General Meeting of Shareholders </w:t>
      </w:r>
    </w:p>
    <w:p w:rsidR="00F74F6C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BCE">
        <w:rPr>
          <w:rFonts w:ascii="Arial" w:hAnsi="Arial" w:cs="Arial"/>
          <w:sz w:val="20"/>
          <w:szCs w:val="20"/>
        </w:rPr>
        <w:t xml:space="preserve">- Directing the implementation of the State </w:t>
      </w:r>
      <w:r w:rsidR="00F74F6C">
        <w:rPr>
          <w:rFonts w:ascii="Arial" w:hAnsi="Arial" w:cs="Arial"/>
          <w:sz w:val="20"/>
          <w:szCs w:val="20"/>
        </w:rPr>
        <w:t>capital divestment at</w:t>
      </w:r>
      <w:r w:rsidRPr="003D0BCE">
        <w:rPr>
          <w:rFonts w:ascii="Arial" w:hAnsi="Arial" w:cs="Arial"/>
          <w:sz w:val="20"/>
          <w:szCs w:val="20"/>
        </w:rPr>
        <w:t xml:space="preserve"> the Company in accordance with current regulations, ensuring the progress as required by the Hanoi People's Committee </w:t>
      </w:r>
    </w:p>
    <w:p w:rsidR="003D0BCE" w:rsidRDefault="003D0BCE" w:rsidP="003D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BCE">
        <w:rPr>
          <w:rFonts w:ascii="Arial" w:hAnsi="Arial" w:cs="Arial"/>
          <w:sz w:val="20"/>
          <w:szCs w:val="20"/>
        </w:rPr>
        <w:t xml:space="preserve">This resolution </w:t>
      </w:r>
      <w:r w:rsidR="00F74F6C">
        <w:rPr>
          <w:rFonts w:ascii="Arial" w:hAnsi="Arial" w:cs="Arial"/>
          <w:sz w:val="20"/>
          <w:szCs w:val="20"/>
        </w:rPr>
        <w:t>was</w:t>
      </w:r>
      <w:r w:rsidRPr="003D0BCE">
        <w:rPr>
          <w:rFonts w:ascii="Arial" w:hAnsi="Arial" w:cs="Arial"/>
          <w:sz w:val="20"/>
          <w:szCs w:val="20"/>
        </w:rPr>
        <w:t xml:space="preserve"> approved by the Annual General Me</w:t>
      </w:r>
      <w:r w:rsidR="00F74F6C">
        <w:rPr>
          <w:rFonts w:ascii="Arial" w:hAnsi="Arial" w:cs="Arial"/>
          <w:sz w:val="20"/>
          <w:szCs w:val="20"/>
        </w:rPr>
        <w:t xml:space="preserve">eting of Shareholders in 2020 of </w:t>
      </w:r>
      <w:r w:rsidR="00F74F6C">
        <w:br/>
      </w:r>
      <w:r w:rsidR="00F74F6C" w:rsidRPr="00F74F6C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F74F6C" w:rsidRPr="00F74F6C">
        <w:rPr>
          <w:rFonts w:ascii="Arial" w:hAnsi="Arial" w:cs="Arial"/>
          <w:sz w:val="20"/>
          <w:szCs w:val="20"/>
        </w:rPr>
        <w:t>Noi</w:t>
      </w:r>
      <w:proofErr w:type="spellEnd"/>
      <w:r w:rsidR="00F74F6C" w:rsidRPr="00F74F6C">
        <w:rPr>
          <w:rFonts w:ascii="Arial" w:hAnsi="Arial" w:cs="Arial"/>
          <w:sz w:val="20"/>
          <w:szCs w:val="20"/>
        </w:rPr>
        <w:t xml:space="preserve"> cadastral survey Joint stock Company</w:t>
      </w:r>
      <w:r w:rsidR="00D63FB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D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0BD3"/>
    <w:rsid w:val="00132EC5"/>
    <w:rsid w:val="00137F24"/>
    <w:rsid w:val="00140C63"/>
    <w:rsid w:val="00141ED4"/>
    <w:rsid w:val="00146DCF"/>
    <w:rsid w:val="00160B60"/>
    <w:rsid w:val="0016411D"/>
    <w:rsid w:val="00167E2F"/>
    <w:rsid w:val="001747CD"/>
    <w:rsid w:val="001B25AA"/>
    <w:rsid w:val="001B2E11"/>
    <w:rsid w:val="001C0563"/>
    <w:rsid w:val="001E03D4"/>
    <w:rsid w:val="001F34A1"/>
    <w:rsid w:val="001F6744"/>
    <w:rsid w:val="002128E5"/>
    <w:rsid w:val="00216A5D"/>
    <w:rsid w:val="00221EC5"/>
    <w:rsid w:val="00225894"/>
    <w:rsid w:val="00230F26"/>
    <w:rsid w:val="00232199"/>
    <w:rsid w:val="00265ECA"/>
    <w:rsid w:val="00296BF9"/>
    <w:rsid w:val="002B19B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071A"/>
    <w:rsid w:val="0037607E"/>
    <w:rsid w:val="00397004"/>
    <w:rsid w:val="003A0ECB"/>
    <w:rsid w:val="003A561D"/>
    <w:rsid w:val="003A5CE9"/>
    <w:rsid w:val="003B73F7"/>
    <w:rsid w:val="003C1805"/>
    <w:rsid w:val="003C4606"/>
    <w:rsid w:val="003D0BCE"/>
    <w:rsid w:val="003D59CA"/>
    <w:rsid w:val="003E034B"/>
    <w:rsid w:val="00403A9C"/>
    <w:rsid w:val="00406881"/>
    <w:rsid w:val="0040712C"/>
    <w:rsid w:val="004263B2"/>
    <w:rsid w:val="004264BA"/>
    <w:rsid w:val="0042783A"/>
    <w:rsid w:val="00440BF3"/>
    <w:rsid w:val="004512F0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1550B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22E"/>
    <w:rsid w:val="0058434E"/>
    <w:rsid w:val="005906FC"/>
    <w:rsid w:val="00595D36"/>
    <w:rsid w:val="005B40E5"/>
    <w:rsid w:val="005D5EDB"/>
    <w:rsid w:val="005E105A"/>
    <w:rsid w:val="005E6721"/>
    <w:rsid w:val="006000D8"/>
    <w:rsid w:val="00601895"/>
    <w:rsid w:val="0061306A"/>
    <w:rsid w:val="00627358"/>
    <w:rsid w:val="0063035E"/>
    <w:rsid w:val="0063242E"/>
    <w:rsid w:val="006374A1"/>
    <w:rsid w:val="00662D37"/>
    <w:rsid w:val="006838B7"/>
    <w:rsid w:val="00686FBE"/>
    <w:rsid w:val="00695ACD"/>
    <w:rsid w:val="006A2523"/>
    <w:rsid w:val="006A4FD8"/>
    <w:rsid w:val="006B04E8"/>
    <w:rsid w:val="006B36E8"/>
    <w:rsid w:val="006B635A"/>
    <w:rsid w:val="006E0687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77C64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258BE"/>
    <w:rsid w:val="00937D79"/>
    <w:rsid w:val="00965014"/>
    <w:rsid w:val="00981275"/>
    <w:rsid w:val="0098256C"/>
    <w:rsid w:val="009C28F2"/>
    <w:rsid w:val="009D7A09"/>
    <w:rsid w:val="009E0E29"/>
    <w:rsid w:val="009E1744"/>
    <w:rsid w:val="009E71CB"/>
    <w:rsid w:val="009F40C1"/>
    <w:rsid w:val="00A01930"/>
    <w:rsid w:val="00A06443"/>
    <w:rsid w:val="00A06521"/>
    <w:rsid w:val="00A128FC"/>
    <w:rsid w:val="00A33B01"/>
    <w:rsid w:val="00A34999"/>
    <w:rsid w:val="00A45C9D"/>
    <w:rsid w:val="00A45CC6"/>
    <w:rsid w:val="00A4710B"/>
    <w:rsid w:val="00A51F8D"/>
    <w:rsid w:val="00A63B6C"/>
    <w:rsid w:val="00A70462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BD2"/>
    <w:rsid w:val="00B97E0D"/>
    <w:rsid w:val="00BA1F12"/>
    <w:rsid w:val="00BA3FB7"/>
    <w:rsid w:val="00BB149F"/>
    <w:rsid w:val="00BB2980"/>
    <w:rsid w:val="00BD3CCA"/>
    <w:rsid w:val="00BD6E49"/>
    <w:rsid w:val="00BE0C1C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4547"/>
    <w:rsid w:val="00C65003"/>
    <w:rsid w:val="00C7067B"/>
    <w:rsid w:val="00C940B5"/>
    <w:rsid w:val="00CA117B"/>
    <w:rsid w:val="00CA1BB3"/>
    <w:rsid w:val="00CA22DF"/>
    <w:rsid w:val="00CB62A1"/>
    <w:rsid w:val="00CD1E44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3FB2"/>
    <w:rsid w:val="00D651E1"/>
    <w:rsid w:val="00D70E73"/>
    <w:rsid w:val="00D74339"/>
    <w:rsid w:val="00D77F89"/>
    <w:rsid w:val="00D831C0"/>
    <w:rsid w:val="00D8410E"/>
    <w:rsid w:val="00D90A4E"/>
    <w:rsid w:val="00D92955"/>
    <w:rsid w:val="00D92EFF"/>
    <w:rsid w:val="00D958D6"/>
    <w:rsid w:val="00DA3531"/>
    <w:rsid w:val="00DA3891"/>
    <w:rsid w:val="00DA54D0"/>
    <w:rsid w:val="00DB5EDC"/>
    <w:rsid w:val="00DC129B"/>
    <w:rsid w:val="00DD1205"/>
    <w:rsid w:val="00DD263A"/>
    <w:rsid w:val="00DD4D24"/>
    <w:rsid w:val="00DE2ED1"/>
    <w:rsid w:val="00DE5C3C"/>
    <w:rsid w:val="00DF4180"/>
    <w:rsid w:val="00DF739B"/>
    <w:rsid w:val="00E13C77"/>
    <w:rsid w:val="00E16D8D"/>
    <w:rsid w:val="00E24D88"/>
    <w:rsid w:val="00E24F0A"/>
    <w:rsid w:val="00E24F9B"/>
    <w:rsid w:val="00E254DD"/>
    <w:rsid w:val="00E51C91"/>
    <w:rsid w:val="00E51F4E"/>
    <w:rsid w:val="00E5565D"/>
    <w:rsid w:val="00E76EEC"/>
    <w:rsid w:val="00E80D5C"/>
    <w:rsid w:val="00E832E4"/>
    <w:rsid w:val="00E94495"/>
    <w:rsid w:val="00E96D65"/>
    <w:rsid w:val="00EB4672"/>
    <w:rsid w:val="00ED6D41"/>
    <w:rsid w:val="00EE3928"/>
    <w:rsid w:val="00EE4E03"/>
    <w:rsid w:val="00EE6F1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74775"/>
    <w:rsid w:val="00F74F6C"/>
    <w:rsid w:val="00F8681C"/>
    <w:rsid w:val="00F86F7A"/>
    <w:rsid w:val="00F903A5"/>
    <w:rsid w:val="00F961EB"/>
    <w:rsid w:val="00FA631A"/>
    <w:rsid w:val="00FC153A"/>
    <w:rsid w:val="00FC29DB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1C4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262</cp:revision>
  <dcterms:created xsi:type="dcterms:W3CDTF">2019-10-16T10:03:00Z</dcterms:created>
  <dcterms:modified xsi:type="dcterms:W3CDTF">2020-05-22T07:24:00Z</dcterms:modified>
</cp:coreProperties>
</file>